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i w:val="1"/>
          <w:shd w:fill="6aa84f" w:val="clear"/>
        </w:rPr>
      </w:pPr>
      <w:r w:rsidDel="00000000" w:rsidR="00000000" w:rsidRPr="00000000">
        <w:rPr/>
        <w:drawing>
          <wp:inline distB="114300" distT="114300" distL="114300" distR="114300">
            <wp:extent cx="2619375" cy="17430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i w:val="1"/>
          <w:shd w:fill="6aa84f" w:val="clear"/>
          <w:rtl w:val="0"/>
        </w:rPr>
        <w:t xml:space="preserve">THINK ABOUT YOUR FUTURE……..!!     </w:t>
      </w:r>
    </w:p>
    <w:p w:rsidR="00000000" w:rsidDel="00000000" w:rsidP="00000000" w:rsidRDefault="00000000" w:rsidRPr="00000000" w14:paraId="00000002">
      <w:pPr>
        <w:rPr>
          <w:b w:val="1"/>
          <w:i w:val="1"/>
          <w:shd w:fill="6aa84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Gentilissimi studenti e studentesse,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ecco le ultime PROPOSTE post diploma.</w:t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Considerate che il tempo scorre e che …siamo già a Natale!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E’ necessario focalizzare sulla prossima scelta e vedere se il vostro percorso è a numero chiuso perchè già con la fine di gennaio ci sono i test d’ingresso per le Università.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Siamo sempre a vostra disposizione per un confronto e per parlare delle vostre scelte.  A prestissimo!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hd w:fill="ffffff" w:val="clear"/>
        <w:ind w:left="720" w:hanging="360"/>
        <w:jc w:val="both"/>
        <w:rPr>
          <w:rFonts w:ascii="Trebuchet MS" w:cs="Trebuchet MS" w:eastAsia="Trebuchet MS" w:hAnsi="Trebuchet MS"/>
          <w:sz w:val="36"/>
          <w:szCs w:val="36"/>
          <w:shd w:fill="ff9900" w:val="clear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6"/>
          <w:szCs w:val="36"/>
          <w:shd w:fill="ff9900" w:val="clear"/>
          <w:rtl w:val="0"/>
        </w:rPr>
        <w:t xml:space="preserve">UNIVERSITA’ DI VERONA</w:t>
      </w:r>
    </w:p>
    <w:p w:rsidR="00000000" w:rsidDel="00000000" w:rsidP="00000000" w:rsidRDefault="00000000" w:rsidRPr="00000000" w14:paraId="0000000A">
      <w:pPr>
        <w:shd w:fill="ffffff" w:val="clear"/>
        <w:ind w:left="0" w:firstLine="0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Dal 12 al 15 dicembre 2022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si terrà l’edizione invernale dell’Open Week, l’evento di presentazione dei corsi di laurea e laurea magistrale a ciclo unico dell’Ateneo di Verona. </w:t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Durante la settimana, i docenti presenteranno i diversi corsi di studio e sarà possibile incontrare i tutor dei principali servizi rivolti al corpo studentesco. </w:t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Tutte le informazioni sui singoli incontri sono già disponibili alla pagina </w:t>
      </w:r>
      <w:hyperlink r:id="rId7">
        <w:r w:rsidDel="00000000" w:rsidR="00000000" w:rsidRPr="00000000">
          <w:rPr>
            <w:rFonts w:ascii="Trebuchet MS" w:cs="Trebuchet MS" w:eastAsia="Trebuchet MS" w:hAnsi="Trebuchet MS"/>
            <w:color w:val="1155cc"/>
            <w:sz w:val="20"/>
            <w:szCs w:val="20"/>
            <w:u w:val="single"/>
            <w:rtl w:val="0"/>
          </w:rPr>
          <w:t xml:space="preserve">www.univr.it/it/open-weeks</w:t>
        </w:r>
      </w:hyperlink>
      <w:r w:rsidDel="00000000" w:rsidR="00000000" w:rsidRPr="00000000">
        <w:rPr>
          <w:color w:val="222222"/>
          <w:rtl w:val="0"/>
        </w:rPr>
        <w:t xml:space="preserve">;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le locandine con il programma dettagliato di ciascun evento sono visionabili nei box delle rispettive Aree. </w:t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L’iscrizione è obbligatoria fino ad esaurimento posti.  </w:t>
      </w:r>
      <w:r w:rsidDel="00000000" w:rsidR="00000000" w:rsidRPr="00000000">
        <w:rPr>
          <w:rFonts w:ascii="Trebuchet MS" w:cs="Trebuchet MS" w:eastAsia="Trebuchet MS" w:hAnsi="Trebuchet MS"/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color w:val="1155cc"/>
          <w:sz w:val="20"/>
          <w:szCs w:val="20"/>
          <w:rtl w:val="0"/>
        </w:rPr>
        <w:t xml:space="preserve">inclusione@ateneo.univr.it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rPr>
          <w:b w:val="1"/>
          <w:sz w:val="36"/>
          <w:szCs w:val="36"/>
          <w:highlight w:val="green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36"/>
          <w:szCs w:val="36"/>
          <w:highlight w:val="green"/>
          <w:rtl w:val="0"/>
        </w:rPr>
        <w:t xml:space="preserve">UNIVERSITA’ DI PISA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="360" w:lineRule="auto"/>
        <w:jc w:val="both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 Stage di Chimica c/o Scuola Normale Superiore, Pisa - valido per PCTO</w:t>
      </w:r>
      <w:r w:rsidDel="00000000" w:rsidR="00000000" w:rsidRPr="00000000">
        <w:rPr>
          <w:sz w:val="21"/>
          <w:szCs w:val="21"/>
          <w:rtl w:val="0"/>
        </w:rPr>
        <w:t xml:space="preserve"> - dal 5 all'11 Marzo 2023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="360" w:lineRule="auto"/>
        <w:jc w:val="both"/>
        <w:rPr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D</w:t>
      </w:r>
      <w:r w:rsidDel="00000000" w:rsidR="00000000" w:rsidRPr="00000000">
        <w:rPr>
          <w:b w:val="1"/>
          <w:sz w:val="21"/>
          <w:szCs w:val="21"/>
          <w:rtl w:val="0"/>
        </w:rPr>
        <w:t xml:space="preserve">al 5 all’11 Marzo 2023</w:t>
      </w:r>
      <w:r w:rsidDel="00000000" w:rsidR="00000000" w:rsidRPr="00000000">
        <w:rPr>
          <w:sz w:val="21"/>
          <w:szCs w:val="21"/>
          <w:rtl w:val="0"/>
        </w:rPr>
        <w:t xml:space="preserve">, con il patrocinio della Scuola Normale Superiore, si terrà uno </w:t>
      </w:r>
      <w:r w:rsidDel="00000000" w:rsidR="00000000" w:rsidRPr="00000000">
        <w:rPr>
          <w:b w:val="1"/>
          <w:sz w:val="21"/>
          <w:szCs w:val="21"/>
          <w:rtl w:val="0"/>
        </w:rPr>
        <w:t xml:space="preserve">stage di Chimica per gli studenti dell'ultimo anno, volto alla preparazione al concorso di ammissione della Scuola Normale Superiore</w:t>
      </w:r>
      <w:r w:rsidDel="00000000" w:rsidR="00000000" w:rsidRPr="00000000">
        <w:rPr>
          <w:sz w:val="21"/>
          <w:szCs w:val="21"/>
          <w:rtl w:val="0"/>
        </w:rPr>
        <w:t xml:space="preserve">. Le lezioni saranno tenute da studenti ordinari di Chimica della Scuola Normale Superiore. È un’ottima opportunità per conoscere l’ambiente universitario interagendo con studenti universitari, in vista della scelta del percorso post-diploma. Sarà rilasciato un attestato di partecipazione con riportato il quantitativo di ore di lezione frequentate. Sotto previa richiesta sarà inoltre possibile inquadrare l’iniziativa nell’ambito del Percorso per le Competenze Trasversali e l’Orientamento.   </w:t>
      </w:r>
      <w:r w:rsidDel="00000000" w:rsidR="00000000" w:rsidRPr="00000000">
        <w:rPr>
          <w:sz w:val="21"/>
          <w:szCs w:val="21"/>
          <w:u w:val="single"/>
          <w:rtl w:val="0"/>
        </w:rPr>
        <w:t xml:space="preserve">segreteria.stagechimica@sns.it</w:t>
      </w:r>
      <w:r w:rsidDel="00000000" w:rsidR="00000000" w:rsidRPr="00000000">
        <w:rPr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="360" w:lineRule="auto"/>
        <w:ind w:left="720" w:firstLine="0"/>
        <w:rPr>
          <w:rFonts w:ascii="Trebuchet MS" w:cs="Trebuchet MS" w:eastAsia="Trebuchet MS" w:hAnsi="Trebuchet MS"/>
          <w:color w:val="75757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="360" w:lineRule="auto"/>
        <w:jc w:val="both"/>
        <w:rPr>
          <w:b w:val="1"/>
          <w:color w:val="990033"/>
          <w:sz w:val="24"/>
          <w:szCs w:val="24"/>
        </w:rPr>
      </w:pPr>
      <w:r w:rsidDel="00000000" w:rsidR="00000000" w:rsidRPr="00000000">
        <w:rPr>
          <w:b w:val="1"/>
          <w:color w:val="990033"/>
          <w:sz w:val="36"/>
          <w:szCs w:val="36"/>
          <w:rtl w:val="0"/>
        </w:rPr>
        <w:t xml:space="preserve">I</w:t>
      </w:r>
      <w:r w:rsidDel="00000000" w:rsidR="00000000" w:rsidRPr="00000000">
        <w:rPr>
          <w:b w:val="1"/>
          <w:color w:val="990033"/>
          <w:sz w:val="36"/>
          <w:szCs w:val="36"/>
          <w:rtl w:val="0"/>
        </w:rPr>
        <w:t xml:space="preserve">NVITO: Stage di Biologia - Scuola Normale Superiore</w:t>
      </w:r>
      <w:r w:rsidDel="00000000" w:rsidR="00000000" w:rsidRPr="00000000">
        <w:rPr>
          <w:b w:val="1"/>
          <w:color w:val="990033"/>
          <w:sz w:val="24"/>
          <w:szCs w:val="24"/>
          <w:rtl w:val="0"/>
        </w:rPr>
        <w:t xml:space="preserve"> - valido per PCTO - dal 19 al 25 febbraio 2023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="36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Con la presente desideriamo porgere alla Vostra attenzione che </w:t>
      </w:r>
      <w:r w:rsidDel="00000000" w:rsidR="00000000" w:rsidRPr="00000000">
        <w:rPr>
          <w:b w:val="1"/>
          <w:sz w:val="21"/>
          <w:szCs w:val="21"/>
          <w:rtl w:val="0"/>
        </w:rPr>
        <w:t xml:space="preserve">dal 19 al 25 febbraio 2023</w:t>
      </w:r>
      <w:r w:rsidDel="00000000" w:rsidR="00000000" w:rsidRPr="00000000">
        <w:rPr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sz w:val="21"/>
          <w:szCs w:val="21"/>
          <w:rtl w:val="0"/>
        </w:rPr>
        <w:t xml:space="preserve">si terrà uno </w:t>
      </w:r>
      <w:r w:rsidDel="00000000" w:rsidR="00000000" w:rsidRPr="00000000">
        <w:rPr>
          <w:b w:val="1"/>
          <w:sz w:val="21"/>
          <w:szCs w:val="21"/>
          <w:rtl w:val="0"/>
        </w:rPr>
        <w:t xml:space="preserve">stage </w:t>
      </w:r>
      <w:r w:rsidDel="00000000" w:rsidR="00000000" w:rsidRPr="00000000">
        <w:rPr>
          <w:sz w:val="21"/>
          <w:szCs w:val="21"/>
          <w:rtl w:val="0"/>
        </w:rPr>
        <w:t xml:space="preserve">di potenziamento di </w:t>
      </w:r>
      <w:r w:rsidDel="00000000" w:rsidR="00000000" w:rsidRPr="00000000">
        <w:rPr>
          <w:b w:val="1"/>
          <w:sz w:val="21"/>
          <w:szCs w:val="21"/>
          <w:rtl w:val="0"/>
        </w:rPr>
        <w:t xml:space="preserve">Biologia</w:t>
      </w:r>
      <w:r w:rsidDel="00000000" w:rsidR="00000000" w:rsidRPr="00000000">
        <w:rPr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sz w:val="21"/>
          <w:szCs w:val="21"/>
          <w:rtl w:val="0"/>
        </w:rPr>
        <w:t xml:space="preserve">rivolto agli studenti e alle studentesse degli ultimi tre anni della scuola secondaria. Le lezioni saranno tenute da studenti ed ex studenti di Biologia della </w:t>
      </w:r>
      <w:r w:rsidDel="00000000" w:rsidR="00000000" w:rsidRPr="00000000">
        <w:rPr>
          <w:b w:val="1"/>
          <w:sz w:val="21"/>
          <w:szCs w:val="21"/>
          <w:rtl w:val="0"/>
        </w:rPr>
        <w:t xml:space="preserve">Scuola Normale Superiore</w:t>
      </w:r>
      <w:r w:rsidDel="00000000" w:rsidR="00000000" w:rsidRPr="00000000">
        <w:rPr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sz w:val="21"/>
          <w:szCs w:val="21"/>
          <w:rtl w:val="0"/>
        </w:rPr>
        <w:t xml:space="preserve">di Pisa. Quella dello stage è un’ottima opportunità per conoscere l’ambiente universitario e interagire con studenti e studentesse più grandi, in vista della scelta del percorso di studi post-diploma. Sarà rilasciato un attestato di partecipazione con riportato il quantitativo di ore di lezione e laboratorio frequentate. Sarà inoltre possibile, previa richiesta, il riconoscimento dell’attività come progetto </w:t>
      </w:r>
      <w:r w:rsidDel="00000000" w:rsidR="00000000" w:rsidRPr="00000000">
        <w:rPr>
          <w:b w:val="1"/>
          <w:sz w:val="21"/>
          <w:szCs w:val="21"/>
          <w:rtl w:val="0"/>
        </w:rPr>
        <w:t xml:space="preserve">PCTO </w:t>
      </w:r>
      <w:r w:rsidDel="00000000" w:rsidR="00000000" w:rsidRPr="00000000">
        <w:rPr>
          <w:sz w:val="21"/>
          <w:szCs w:val="21"/>
          <w:rtl w:val="0"/>
        </w:rPr>
        <w:t xml:space="preserve">(40 ore).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="36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Data la capienza limitata delle aule, il numero di partecipanti è contingentato ad un </w:t>
      </w:r>
      <w:r w:rsidDel="00000000" w:rsidR="00000000" w:rsidRPr="00000000">
        <w:rPr>
          <w:b w:val="1"/>
          <w:sz w:val="21"/>
          <w:szCs w:val="21"/>
          <w:rtl w:val="0"/>
        </w:rPr>
        <w:t xml:space="preserve">massimo di 20 studenti</w:t>
      </w:r>
      <w:r w:rsidDel="00000000" w:rsidR="00000000" w:rsidRPr="00000000">
        <w:rPr>
          <w:sz w:val="21"/>
          <w:szCs w:val="21"/>
          <w:rtl w:val="0"/>
        </w:rPr>
        <w:t xml:space="preserve">. Gli studenti saranno selezionati in base ai seguenti parametri: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before="240" w:lineRule="auto"/>
        <w:ind w:left="940" w:hanging="360"/>
        <w:jc w:val="both"/>
        <w:rPr>
          <w:color w:val="000000"/>
        </w:rPr>
      </w:pPr>
      <w:r w:rsidDel="00000000" w:rsidR="00000000" w:rsidRPr="00000000">
        <w:rPr>
          <w:sz w:val="21"/>
          <w:szCs w:val="21"/>
          <w:rtl w:val="0"/>
        </w:rPr>
        <w:t xml:space="preserve">le risposte alle domande presenti nel form di iscrizione (un quesito biologico e una breve lettera motivazionale);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940" w:hanging="360"/>
        <w:jc w:val="both"/>
        <w:rPr>
          <w:color w:val="000000"/>
        </w:rPr>
      </w:pPr>
      <w:r w:rsidDel="00000000" w:rsidR="00000000" w:rsidRPr="00000000">
        <w:rPr>
          <w:sz w:val="21"/>
          <w:szCs w:val="21"/>
          <w:rtl w:val="0"/>
        </w:rPr>
        <w:t xml:space="preserve">i voti conseguiti nell’anno scolastico 2021/22;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240" w:before="0" w:beforeAutospacing="0" w:lineRule="auto"/>
        <w:ind w:left="940" w:hanging="360"/>
        <w:jc w:val="both"/>
        <w:rPr>
          <w:color w:val="000000"/>
        </w:rPr>
      </w:pPr>
      <w:r w:rsidDel="00000000" w:rsidR="00000000" w:rsidRPr="00000000">
        <w:rPr>
          <w:sz w:val="21"/>
          <w:szCs w:val="21"/>
          <w:rtl w:val="0"/>
        </w:rPr>
        <w:t xml:space="preserve">un eventuale colloquio orale che si terrà nella settimana tra il 19 e il 23 dicembre 2022.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="360" w:lineRule="auto"/>
        <w:jc w:val="both"/>
        <w:rPr>
          <w:sz w:val="36"/>
          <w:szCs w:val="36"/>
        </w:rPr>
      </w:pPr>
      <w:r w:rsidDel="00000000" w:rsidR="00000000" w:rsidRPr="00000000">
        <w:rPr>
          <w:sz w:val="21"/>
          <w:szCs w:val="21"/>
          <w:rtl w:val="0"/>
        </w:rPr>
        <w:t xml:space="preserve">La richiesta di iscrizione dovrà pervenire compilando l’opportuno form sul sito </w:t>
      </w:r>
      <w:hyperlink r:id="rId8">
        <w:r w:rsidDel="00000000" w:rsidR="00000000" w:rsidRPr="00000000">
          <w:rPr>
            <w:sz w:val="21"/>
            <w:szCs w:val="21"/>
            <w:u w:val="single"/>
            <w:rtl w:val="0"/>
          </w:rPr>
          <w:t xml:space="preserve">https://sites.google.com/sns.it/stagebiologia</w:t>
        </w:r>
      </w:hyperlink>
      <w:r w:rsidDel="00000000" w:rsidR="00000000" w:rsidRPr="00000000">
        <w:rPr>
          <w:sz w:val="21"/>
          <w:szCs w:val="21"/>
          <w:rtl w:val="0"/>
        </w:rPr>
        <w:t xml:space="preserve">, entro e non oltre la scadenza indicata sul sito stesso. Consigliamo di effettuare l’iscrizione con adeguato anticipo in modo da poter ovviare ad eventuali problemi informatici. (Per chi è interessato scriva a </w:t>
      </w:r>
      <w:hyperlink r:id="rId9">
        <w:r w:rsidDel="00000000" w:rsidR="00000000" w:rsidRPr="00000000">
          <w:rPr>
            <w:u w:val="single"/>
            <w:rtl w:val="0"/>
          </w:rPr>
          <w:t xml:space="preserve">orienta.uni@martinomartini.eu</w:t>
        </w:r>
      </w:hyperlink>
      <w:r w:rsidDel="00000000" w:rsidR="00000000" w:rsidRPr="00000000">
        <w:rPr>
          <w:sz w:val="36"/>
          <w:szCs w:val="36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ind w:left="720" w:hanging="360"/>
        <w:jc w:val="left"/>
        <w:rPr>
          <w:sz w:val="36"/>
          <w:szCs w:val="36"/>
          <w:highlight w:val="yellow"/>
        </w:rPr>
      </w:pPr>
      <w:r w:rsidDel="00000000" w:rsidR="00000000" w:rsidRPr="00000000">
        <w:rPr>
          <w:sz w:val="36"/>
          <w:szCs w:val="36"/>
          <w:highlight w:val="yellow"/>
          <w:rtl w:val="0"/>
        </w:rPr>
        <w:t xml:space="preserve">ACCADEMIA D'ARTE NOVALIA</w:t>
      </w:r>
    </w:p>
    <w:p w:rsidR="00000000" w:rsidDel="00000000" w:rsidP="00000000" w:rsidRDefault="00000000" w:rsidRPr="00000000" w14:paraId="0000001C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ALBA (CN) - VIA SAN PAOLO 8/A</w:t>
      </w:r>
    </w:p>
    <w:p w:rsidR="00000000" w:rsidDel="00000000" w:rsidP="00000000" w:rsidRDefault="00000000" w:rsidRPr="00000000" w14:paraId="0000001D">
      <w:pPr>
        <w:shd w:fill="ffffff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OPEN DAY IN PRESENZA E ON LINE</w:t>
      </w:r>
    </w:p>
    <w:p w:rsidR="00000000" w:rsidDel="00000000" w:rsidP="00000000" w:rsidRDefault="00000000" w:rsidRPr="00000000" w14:paraId="0000001F">
      <w:pPr>
        <w:shd w:fill="ffffff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MARTEDI' 13 DICEMBRE ALLE ORE 16</w:t>
      </w:r>
    </w:p>
    <w:p w:rsidR="00000000" w:rsidDel="00000000" w:rsidP="00000000" w:rsidRDefault="00000000" w:rsidRPr="00000000" w14:paraId="00000021">
      <w:pPr>
        <w:shd w:fill="ffffff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rPr>
          <w:color w:val="b45f06"/>
          <w:sz w:val="20"/>
          <w:szCs w:val="20"/>
        </w:rPr>
      </w:pPr>
      <w:r w:rsidDel="00000000" w:rsidR="00000000" w:rsidRPr="00000000">
        <w:rPr>
          <w:color w:val="b45f06"/>
          <w:sz w:val="20"/>
          <w:szCs w:val="20"/>
          <w:rtl w:val="0"/>
        </w:rPr>
        <w:t xml:space="preserve">PER PRENOTARE</w:t>
      </w:r>
    </w:p>
    <w:p w:rsidR="00000000" w:rsidDel="00000000" w:rsidP="00000000" w:rsidRDefault="00000000" w:rsidRPr="00000000" w14:paraId="00000023">
      <w:pPr>
        <w:shd w:fill="ffffff" w:val="clear"/>
        <w:rPr>
          <w:color w:val="1155cc"/>
          <w:sz w:val="20"/>
          <w:szCs w:val="20"/>
          <w:u w:val="single"/>
        </w:rPr>
      </w:pP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https://novaliaarte.com/4734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rPr>
          <w:color w:val="1155cc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rPr>
          <w:color w:val="1155cc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rPr>
          <w:color w:val="1155cc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rPr>
          <w:color w:val="1155cc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hd w:fill="ffffff" w:val="clear"/>
        <w:ind w:left="720" w:hanging="360"/>
        <w:jc w:val="both"/>
        <w:rPr>
          <w:color w:val="434343"/>
          <w:sz w:val="36"/>
          <w:szCs w:val="36"/>
          <w:shd w:fill="8e7cc3" w:val="clear"/>
        </w:rPr>
      </w:pPr>
      <w:r w:rsidDel="00000000" w:rsidR="00000000" w:rsidRPr="00000000">
        <w:rPr>
          <w:color w:val="434343"/>
          <w:sz w:val="36"/>
          <w:szCs w:val="36"/>
          <w:shd w:fill="8e7cc3" w:val="clear"/>
          <w:rtl w:val="0"/>
        </w:rPr>
        <w:t xml:space="preserve">DESIGN IN TOWN_SUMMER EDITION</w:t>
      </w:r>
    </w:p>
    <w:tbl>
      <w:tblPr>
        <w:tblStyle w:val="Table1"/>
        <w:tblW w:w="8670.0" w:type="dxa"/>
        <w:jc w:val="left"/>
        <w:tblInd w:w="22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670"/>
        <w:tblGridChange w:id="0">
          <w:tblGrid>
            <w:gridCol w:w="8670"/>
          </w:tblGrid>
        </w:tblGridChange>
      </w:tblGrid>
      <w:tr>
        <w:trPr>
          <w:cantSplit w:val="0"/>
          <w:trHeight w:val="76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hd w:fill="ffffff" w:val="clear"/>
              <w:spacing w:after="200" w:before="200" w:line="300" w:lineRule="auto"/>
              <w:jc w:val="both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Vi comunichiamo un invito per il prossimo 7 dicembre alle ore 19 alla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presentazione on-line del campo estivo Design in Town 2023 riservato a studenti liceali</w:t>
            </w: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 senza limitazioni dal primo al quinto anno. In quest’occasione potrete conoscere gli organizzatori e ascoltare la testimonianza di studenti e genitori delle edizioni passate. Vi sarò grato per la diffusione che vorrete dare all’incontro, estendendo l’invito a colleghi e studenti. In caso di interesse, è sufficiente registrarsi al link</w:t>
            </w:r>
          </w:p>
          <w:p w:rsidR="00000000" w:rsidDel="00000000" w:rsidP="00000000" w:rsidRDefault="00000000" w:rsidRPr="00000000" w14:paraId="0000002A">
            <w:pPr>
              <w:shd w:fill="ffffff" w:val="clear"/>
              <w:spacing w:after="200" w:before="200" w:line="300" w:lineRule="auto"/>
              <w:jc w:val="both"/>
              <w:rPr>
                <w:rFonts w:ascii="Georgia" w:cs="Georgia" w:eastAsia="Georgia" w:hAnsi="Georgia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https://www.designintown.org/open-day/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hd w:fill="ffffff" w:val="clear"/>
              <w:spacing w:after="200" w:before="200" w:line="300" w:lineRule="auto"/>
              <w:jc w:val="both"/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Design in Town, giunto alla decima edizione, è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un’esperienza immersiva da 1 a 4 settimane</w:t>
            </w: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 in cui ragazzi e ragazze delle scuole superiori intraprendono un percorso di orientamento in uscita, confrontandosi con il mondo della creatività in otto discipline: Architettura, Moda, Design, Fotografia, Grafica e Comunicazione, Video, Scrittura creativa, Illustrazione.</w:t>
            </w: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16"/>
                  <w:szCs w:val="16"/>
                  <w:u w:val="single"/>
                  <w:rtl w:val="0"/>
                </w:rPr>
                <w:t xml:space="preserve">designintown.org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hd w:fill="ffffff" w:val="clear"/>
              <w:spacing w:after="200" w:before="200" w:line="300" w:lineRule="auto"/>
              <w:ind w:left="0" w:firstLine="0"/>
              <w:jc w:val="both"/>
              <w:rPr>
                <w:rFonts w:ascii="Georgia" w:cs="Georgia" w:eastAsia="Georgia" w:hAnsi="Georgia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highlight w:val="yellow"/>
                <w:rtl w:val="0"/>
              </w:rPr>
              <w:t xml:space="preserve">Vi anticipo che nel mese di gennaio ci saranno tre proposte: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4"/>
              </w:numPr>
              <w:shd w:fill="ffffff" w:val="clear"/>
              <w:spacing w:after="0" w:afterAutospacing="0" w:before="200" w:line="300" w:lineRule="auto"/>
              <w:ind w:left="720" w:hanging="360"/>
              <w:jc w:val="both"/>
              <w:rPr>
                <w:rFonts w:ascii="Georgia" w:cs="Georgia" w:eastAsia="Georgia" w:hAnsi="Georgia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highlight w:val="yellow"/>
                <w:rtl w:val="0"/>
              </w:rPr>
              <w:t xml:space="preserve"> Workshop incontro per le 4^ e le 5^ presso l’atrio della nostra scuola dalle 10.30 alle 13.10;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4"/>
              </w:numPr>
              <w:shd w:fill="ffffff" w:val="clear"/>
              <w:spacing w:after="0" w:afterAutospacing="0" w:before="0" w:beforeAutospacing="0" w:line="300" w:lineRule="auto"/>
              <w:ind w:left="720" w:hanging="360"/>
              <w:jc w:val="both"/>
              <w:rPr>
                <w:rFonts w:ascii="Georgia" w:cs="Georgia" w:eastAsia="Georgia" w:hAnsi="Georgia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highlight w:val="yellow"/>
                <w:rtl w:val="0"/>
              </w:rPr>
              <w:t xml:space="preserve">incontro con gli studenti ex Martiniani…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4"/>
              </w:numPr>
              <w:shd w:fill="ffffff" w:val="clear"/>
              <w:spacing w:after="200" w:before="0" w:beforeAutospacing="0" w:line="300" w:lineRule="auto"/>
              <w:ind w:left="720" w:hanging="360"/>
              <w:jc w:val="both"/>
              <w:rPr>
                <w:rFonts w:ascii="Georgia" w:cs="Georgia" w:eastAsia="Georgia" w:hAnsi="Georgia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highlight w:val="yellow"/>
                <w:rtl w:val="0"/>
              </w:rPr>
              <w:t xml:space="preserve">nel pomeriggio l’ Università viene a Scuola.</w:t>
            </w:r>
          </w:p>
          <w:p w:rsidR="00000000" w:rsidDel="00000000" w:rsidP="00000000" w:rsidRDefault="00000000" w:rsidRPr="00000000" w14:paraId="00000030">
            <w:pPr>
              <w:shd w:fill="ffffff" w:val="clear"/>
              <w:spacing w:after="200" w:before="200" w:line="300" w:lineRule="auto"/>
              <w:jc w:val="both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hd w:fill="ffffff" w:val="clear"/>
              <w:spacing w:after="200" w:before="200" w:line="300" w:lineRule="auto"/>
              <w:jc w:val="both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A presto e …buona scelta a tutti!</w:t>
            </w:r>
          </w:p>
          <w:p w:rsidR="00000000" w:rsidDel="00000000" w:rsidP="00000000" w:rsidRDefault="00000000" w:rsidRPr="00000000" w14:paraId="00000032">
            <w:pPr>
              <w:shd w:fill="ffffff" w:val="clear"/>
              <w:spacing w:after="280" w:before="28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Per ogni altra informazione potete rivolgervi alla Referente prof.ssa Verlato:</w:t>
            </w:r>
          </w:p>
          <w:p w:rsidR="00000000" w:rsidDel="00000000" w:rsidP="00000000" w:rsidRDefault="00000000" w:rsidRPr="00000000" w14:paraId="00000033">
            <w:pPr>
              <w:shd w:fill="ffffff" w:val="clear"/>
              <w:spacing w:after="280" w:before="28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  <w:highlight w:val="white"/>
                <w:rtl w:val="0"/>
              </w:rPr>
              <w:t xml:space="preserve">orienta:uni@martinomartini.eu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hd w:fill="ffffff" w:val="clear"/>
              <w:spacing w:after="200" w:before="200" w:line="300" w:lineRule="auto"/>
              <w:jc w:val="both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hd w:fill="ffffff" w:val="clear"/>
              <w:spacing w:after="200" w:before="200" w:line="300" w:lineRule="auto"/>
              <w:jc w:val="both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88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8880"/>
              <w:tblGridChange w:id="0">
                <w:tblGrid>
                  <w:gridCol w:w="8880"/>
                </w:tblGrid>
              </w:tblGridChange>
            </w:tblGrid>
            <w:tr>
              <w:trPr>
                <w:cantSplit w:val="0"/>
                <w:trHeight w:val="138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60.0" w:type="dxa"/>
                    <w:left w:w="160.0" w:type="dxa"/>
                    <w:bottom w:w="160.0" w:type="dxa"/>
                    <w:right w:w="160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shd w:fill="ffffff" w:val="clear"/>
                    <w:spacing w:after="200" w:before="200" w:line="300" w:lineRule="auto"/>
                    <w:jc w:val="both"/>
                    <w:rPr>
                      <w:color w:val="222222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3"/>
                    <w:tblW w:w="7730.823529411765" w:type="dxa"/>
                    <w:jc w:val="left"/>
                    <w:tblBorders>
                      <w:top w:color="000000" w:space="0" w:sz="0" w:val="nil"/>
                      <w:left w:color="000000" w:space="0" w:sz="0" w:val="nil"/>
                      <w:bottom w:color="000000" w:space="0" w:sz="0" w:val="nil"/>
                      <w:right w:color="000000" w:space="0" w:sz="0" w:val="nil"/>
                      <w:insideH w:color="000000" w:space="0" w:sz="0" w:val="nil"/>
                      <w:insideV w:color="000000" w:space="0" w:sz="0" w:val="nil"/>
                    </w:tblBorders>
                    <w:tblLayout w:type="fixed"/>
                    <w:tblLook w:val="0600"/>
                  </w:tblPr>
                  <w:tblGrid>
                    <w:gridCol w:w="7730.823529411765"/>
                    <w:tblGridChange w:id="0">
                      <w:tblGrid>
                        <w:gridCol w:w="7730.823529411765"/>
                      </w:tblGrid>
                    </w:tblGridChange>
                  </w:tblGrid>
                  <w:tr>
                    <w:trPr>
                      <w:cantSplit w:val="0"/>
                      <w:trHeight w:val="1080" w:hRule="atLeast"/>
                      <w:tblHeader w:val="0"/>
                    </w:trPr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0" w:val="nil"/>
                          <w:right w:color="000000" w:space="0" w:sz="0" w:val="nil"/>
                        </w:tcBorders>
                        <w:shd w:fill="auto" w:val="clear"/>
                        <w:tcMar>
                          <w:top w:w="160.0" w:type="dxa"/>
                          <w:left w:w="160.0" w:type="dxa"/>
                          <w:bottom w:w="160.0" w:type="dxa"/>
                          <w:right w:w="16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37">
                        <w:pPr>
                          <w:shd w:fill="ffffff" w:val="clear"/>
                          <w:spacing w:after="200" w:before="200" w:line="300" w:lineRule="auto"/>
                          <w:jc w:val="both"/>
                          <w:rPr>
                            <w:color w:val="222222"/>
                            <w:sz w:val="2"/>
                            <w:szCs w:val="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tbl>
                        <w:tblPr>
                          <w:tblStyle w:val="Table4"/>
                          <w:tblW w:w="6036.932569990563" w:type="dxa"/>
                          <w:jc w:val="left"/>
                          <w:tblBorders>
                            <w:top w:color="000000" w:space="0" w:sz="0" w:val="nil"/>
                            <w:left w:color="000000" w:space="0" w:sz="0" w:val="nil"/>
                            <w:bottom w:color="000000" w:space="0" w:sz="0" w:val="nil"/>
                            <w:right w:color="000000" w:space="0" w:sz="0" w:val="nil"/>
                            <w:insideH w:color="000000" w:space="0" w:sz="0" w:val="nil"/>
                            <w:insideV w:color="000000" w:space="0" w:sz="0" w:val="nil"/>
                          </w:tblBorders>
                          <w:tblLayout w:type="fixed"/>
                          <w:tblLook w:val="0600"/>
                        </w:tblPr>
                        <w:tblGrid>
                          <w:gridCol w:w="6036.932569990563"/>
                          <w:tblGridChange w:id="0">
                            <w:tblGrid>
                              <w:gridCol w:w="6036.932569990563"/>
                            </w:tblGrid>
                          </w:tblGridChange>
                        </w:tblGrid>
                        <w:tr>
                          <w:trPr>
                            <w:cantSplit w:val="0"/>
                            <w:trHeight w:val="780" w:hRule="atLeast"/>
                            <w:tblHeader w:val="0"/>
                          </w:trPr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000000" w:space="0" w:sz="0" w:val="nil"/>
                                <w:right w:color="000000" w:space="0" w:sz="0" w:val="nil"/>
                              </w:tcBorders>
                              <w:shd w:fill="auto" w:val="clear"/>
                              <w:tcMar>
                                <w:top w:w="0.0" w:type="dxa"/>
                                <w:left w:w="0.0" w:type="dxa"/>
                                <w:bottom w:w="0.0" w:type="dxa"/>
                                <w:right w:w="0.0" w:type="dxa"/>
                              </w:tcMar>
                              <w:vAlign w:val="top"/>
                            </w:tcPr>
                            <w:p w:rsidR="00000000" w:rsidDel="00000000" w:rsidP="00000000" w:rsidRDefault="00000000" w:rsidRPr="00000000" w14:paraId="00000038">
                              <w:pPr>
                                <w:shd w:fill="ffffff" w:val="clear"/>
                                <w:spacing w:after="200" w:before="200" w:line="300" w:lineRule="auto"/>
                                <w:jc w:val="both"/>
                                <w:rPr>
                                  <w:rFonts w:ascii="Georgia" w:cs="Georgia" w:eastAsia="Georgia" w:hAnsi="Georgia"/>
                                  <w:color w:val="1155cc"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</w:tc>
                        </w:tr>
                      </w:tbl>
                      <w:p w:rsidR="00000000" w:rsidDel="00000000" w:rsidP="00000000" w:rsidRDefault="00000000" w:rsidRPr="00000000" w14:paraId="00000039">
                        <w:pPr>
                          <w:shd w:fill="ffffff" w:val="clear"/>
                          <w:spacing w:after="200" w:before="200" w:line="300" w:lineRule="auto"/>
                          <w:jc w:val="both"/>
                          <w:rPr>
                            <w:color w:val="222222"/>
                            <w:sz w:val="2"/>
                            <w:szCs w:val="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3A">
                  <w:pPr>
                    <w:shd w:fill="ffffff" w:val="clear"/>
                    <w:spacing w:after="200" w:before="200" w:line="300" w:lineRule="auto"/>
                    <w:jc w:val="center"/>
                    <w:rPr>
                      <w:color w:val="2222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B">
            <w:pPr>
              <w:shd w:fill="ffffff" w:val="clear"/>
              <w:spacing w:after="200" w:before="200" w:line="30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888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8880"/>
              <w:tblGridChange w:id="0">
                <w:tblGrid>
                  <w:gridCol w:w="8880"/>
                </w:tblGrid>
              </w:tblGridChange>
            </w:tblGrid>
            <w:tr>
              <w:trPr>
                <w:cantSplit w:val="0"/>
                <w:trHeight w:val="333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60.0" w:type="dxa"/>
                    <w:left w:w="160.0" w:type="dxa"/>
                    <w:bottom w:w="160.0" w:type="dxa"/>
                    <w:right w:w="160.0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shd w:fill="ffffff" w:val="clear"/>
                    <w:spacing w:after="200" w:before="200" w:line="300" w:lineRule="auto"/>
                    <w:jc w:val="both"/>
                    <w:rPr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6"/>
                    <w:tblW w:w="7730.823529411765" w:type="dxa"/>
                    <w:jc w:val="left"/>
                    <w:tblBorders>
                      <w:top w:color="000000" w:space="0" w:sz="0" w:val="nil"/>
                      <w:left w:color="000000" w:space="0" w:sz="0" w:val="nil"/>
                      <w:bottom w:color="000000" w:space="0" w:sz="0" w:val="nil"/>
                      <w:right w:color="000000" w:space="0" w:sz="0" w:val="nil"/>
                      <w:insideH w:color="000000" w:space="0" w:sz="0" w:val="nil"/>
                      <w:insideV w:color="000000" w:space="0" w:sz="0" w:val="nil"/>
                    </w:tblBorders>
                    <w:tblLayout w:type="fixed"/>
                    <w:tblLook w:val="0600"/>
                  </w:tblPr>
                  <w:tblGrid>
                    <w:gridCol w:w="7730.823529411765"/>
                    <w:tblGridChange w:id="0">
                      <w:tblGrid>
                        <w:gridCol w:w="7730.823529411765"/>
                      </w:tblGrid>
                    </w:tblGridChange>
                  </w:tblGrid>
                  <w:tr>
                    <w:trPr>
                      <w:cantSplit w:val="0"/>
                      <w:trHeight w:val="1515" w:hRule="atLeast"/>
                      <w:tblHeader w:val="0"/>
                    </w:trPr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0" w:val="nil"/>
                          <w:right w:color="000000" w:space="0" w:sz="0" w:val="nil"/>
                        </w:tcBorders>
                        <w:shd w:fill="auto" w:val="clear"/>
                        <w:tcMar>
                          <w:top w:w="160.0" w:type="dxa"/>
                          <w:left w:w="160.0" w:type="dxa"/>
                          <w:bottom w:w="160.0" w:type="dxa"/>
                          <w:right w:w="16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3D">
                        <w:pPr>
                          <w:shd w:fill="ffffff" w:val="clear"/>
                          <w:spacing w:after="200" w:before="200" w:line="300" w:lineRule="auto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tbl>
                        <w:tblPr>
                          <w:tblStyle w:val="Table7"/>
                          <w:tblW w:w="6036.932569990563" w:type="dxa"/>
                          <w:jc w:val="left"/>
                          <w:tblBorders>
                            <w:top w:color="000000" w:space="0" w:sz="0" w:val="nil"/>
                            <w:left w:color="000000" w:space="0" w:sz="0" w:val="nil"/>
                            <w:bottom w:color="000000" w:space="0" w:sz="0" w:val="nil"/>
                            <w:right w:color="000000" w:space="0" w:sz="0" w:val="nil"/>
                            <w:insideH w:color="000000" w:space="0" w:sz="0" w:val="nil"/>
                            <w:insideV w:color="000000" w:space="0" w:sz="0" w:val="nil"/>
                          </w:tblBorders>
                          <w:tblLayout w:type="fixed"/>
                          <w:tblLook w:val="0600"/>
                        </w:tblPr>
                        <w:tblGrid>
                          <w:gridCol w:w="6036.932569990563"/>
                          <w:tblGridChange w:id="0">
                            <w:tblGrid>
                              <w:gridCol w:w="6036.932569990563"/>
                            </w:tblGrid>
                          </w:tblGridChange>
                        </w:tblGrid>
                        <w:tr>
                          <w:trPr>
                            <w:cantSplit w:val="0"/>
                            <w:trHeight w:val="15" w:hRule="atLeast"/>
                            <w:tblHeader w:val="0"/>
                          </w:trPr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000000" w:space="0" w:sz="0" w:val="nil"/>
                                <w:right w:color="000000" w:space="0" w:sz="0" w:val="nil"/>
                              </w:tcBorders>
                              <w:shd w:fill="auto" w:val="clear"/>
                              <w:tcMar>
                                <w:top w:w="0.0" w:type="dxa"/>
                                <w:left w:w="0.0" w:type="dxa"/>
                                <w:bottom w:w="0.0" w:type="dxa"/>
                                <w:right w:w="0.0" w:type="dxa"/>
                              </w:tcMar>
                              <w:vAlign w:val="top"/>
                            </w:tcPr>
                            <w:p w:rsidR="00000000" w:rsidDel="00000000" w:rsidP="00000000" w:rsidRDefault="00000000" w:rsidRPr="00000000" w14:paraId="0000003E">
                              <w:pPr>
                                <w:shd w:fill="ffffff" w:val="clear"/>
                                <w:spacing w:after="200" w:before="200" w:line="300" w:lineRule="auto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</w:tc>
                        </w:tr>
                        <w:tr>
                          <w:trPr>
                            <w:cantSplit w:val="0"/>
                            <w:trHeight w:val="1200" w:hRule="atLeast"/>
                            <w:tblHeader w:val="0"/>
                          </w:trPr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000000" w:space="0" w:sz="0" w:val="nil"/>
                                <w:right w:color="000000" w:space="0" w:sz="0" w:val="nil"/>
                              </w:tcBorders>
                              <w:shd w:fill="auto" w:val="clear"/>
                              <w:tcMar>
                                <w:top w:w="0.0" w:type="dxa"/>
                                <w:left w:w="0.0" w:type="dxa"/>
                                <w:bottom w:w="0.0" w:type="dxa"/>
                                <w:right w:w="0.0" w:type="dxa"/>
                              </w:tcMar>
                              <w:vAlign w:val="top"/>
                            </w:tcPr>
                            <w:p w:rsidR="00000000" w:rsidDel="00000000" w:rsidP="00000000" w:rsidRDefault="00000000" w:rsidRPr="00000000" w14:paraId="0000003F">
                              <w:pPr>
                                <w:shd w:fill="ffffff" w:val="clear"/>
                                <w:spacing w:after="200" w:before="200" w:line="300" w:lineRule="auto"/>
                                <w:jc w:val="both"/>
                                <w:rPr>
                                  <w:b w:val="1"/>
                                  <w:sz w:val="16"/>
                                  <w:szCs w:val="16"/>
                                </w:rPr>
                              </w:pP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  <w:p w:rsidR="00000000" w:rsidDel="00000000" w:rsidP="00000000" w:rsidRDefault="00000000" w:rsidRPr="00000000" w14:paraId="00000040">
                              <w:pPr>
                                <w:shd w:fill="ffffff" w:val="clear"/>
                                <w:spacing w:after="200" w:before="200" w:line="300" w:lineRule="auto"/>
                                <w:jc w:val="both"/>
                                <w:rPr>
                                  <w:b w:val="1"/>
                                  <w:sz w:val="16"/>
                                  <w:szCs w:val="16"/>
                                </w:rPr>
                              </w:pP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</w:tc>
                        </w:tr>
                      </w:tbl>
                      <w:p w:rsidR="00000000" w:rsidDel="00000000" w:rsidP="00000000" w:rsidRDefault="00000000" w:rsidRPr="00000000" w14:paraId="00000041">
                        <w:pPr>
                          <w:shd w:fill="ffffff" w:val="clear"/>
                          <w:spacing w:after="200" w:before="200" w:line="300" w:lineRule="auto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42">
                  <w:pPr>
                    <w:shd w:fill="ffffff" w:val="clear"/>
                    <w:spacing w:after="200" w:before="200" w:line="300" w:lineRule="auto"/>
                    <w:jc w:val="both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8"/>
                    <w:tblW w:w="6730.364013840831" w:type="dxa"/>
                    <w:jc w:val="left"/>
                    <w:tblBorders>
                      <w:top w:color="000000" w:space="0" w:sz="0" w:val="nil"/>
                      <w:left w:color="000000" w:space="0" w:sz="0" w:val="nil"/>
                      <w:bottom w:color="000000" w:space="0" w:sz="0" w:val="nil"/>
                      <w:right w:color="000000" w:space="0" w:sz="0" w:val="nil"/>
                      <w:insideH w:color="000000" w:space="0" w:sz="0" w:val="nil"/>
                      <w:insideV w:color="000000" w:space="0" w:sz="0" w:val="nil"/>
                    </w:tblBorders>
                    <w:tblLayout w:type="fixed"/>
                    <w:tblLook w:val="0600"/>
                  </w:tblPr>
                  <w:tblGrid>
                    <w:gridCol w:w="6730.364013840831"/>
                    <w:tblGridChange w:id="0">
                      <w:tblGrid>
                        <w:gridCol w:w="6730.364013840831"/>
                      </w:tblGrid>
                    </w:tblGridChange>
                  </w:tblGrid>
                  <w:tr>
                    <w:trPr>
                      <w:cantSplit w:val="0"/>
                      <w:trHeight w:val="1515" w:hRule="atLeast"/>
                      <w:tblHeader w:val="0"/>
                    </w:trPr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0" w:val="nil"/>
                          <w:right w:color="000000" w:space="0" w:sz="0" w:val="nil"/>
                        </w:tcBorders>
                        <w:shd w:fill="auto" w:val="clear"/>
                        <w:tcMar>
                          <w:top w:w="160.0" w:type="dxa"/>
                          <w:left w:w="160.0" w:type="dxa"/>
                          <w:bottom w:w="160.0" w:type="dxa"/>
                          <w:right w:w="16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43">
                        <w:pPr>
                          <w:shd w:fill="ffffff" w:val="clear"/>
                          <w:spacing w:after="200" w:before="200" w:line="300" w:lineRule="auto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44">
                  <w:pPr>
                    <w:shd w:fill="ffffff" w:val="clear"/>
                    <w:spacing w:after="200" w:before="200" w:line="30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5">
            <w:pPr>
              <w:shd w:fill="ffffff" w:val="clear"/>
              <w:spacing w:after="200" w:before="200" w:line="300" w:lineRule="auto"/>
              <w:jc w:val="both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hd w:fill="ffffff" w:val="clear"/>
        <w:ind w:left="0" w:firstLine="0"/>
        <w:jc w:val="both"/>
        <w:rPr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rPr>
          <w:rFonts w:ascii="Trebuchet MS" w:cs="Trebuchet MS" w:eastAsia="Trebuchet MS" w:hAnsi="Trebuchet MS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75757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esignisyoung.us10.list-manage.com/track/click?u=5286cb004634318641014f6fd&amp;id=9f1287a77d&amp;e=ca4d8e086e" TargetMode="External"/><Relationship Id="rId10" Type="http://schemas.openxmlformats.org/officeDocument/2006/relationships/hyperlink" Target="https://novaliaarte.com/4734" TargetMode="External"/><Relationship Id="rId12" Type="http://schemas.openxmlformats.org/officeDocument/2006/relationships/hyperlink" Target="https://designisyoung.us10.list-manage.com/track/click?u=5286cb004634318641014f6fd&amp;id=3632fcab82&amp;e=ca4d8e086e" TargetMode="External"/><Relationship Id="rId9" Type="http://schemas.openxmlformats.org/officeDocument/2006/relationships/hyperlink" Target="mailto:orienta.uni@martinomartini.eu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univr.it/it/open-weeks" TargetMode="External"/><Relationship Id="rId8" Type="http://schemas.openxmlformats.org/officeDocument/2006/relationships/hyperlink" Target="https://sns.us14.list-manage.com/track/click?u=fa00e849abfbf14cd03499082&amp;id=50bf5c63ec&amp;e=54e40262a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